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D58B2" w14:textId="2CCCB2A0" w:rsidR="003B6531" w:rsidRDefault="003B6531" w:rsidP="003B653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</w:pPr>
      <w:r w:rsidRPr="0056191F"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  <w:t xml:space="preserve">SVILUPPO RURALE – </w:t>
      </w:r>
      <w:r w:rsidR="001F6AF9" w:rsidRPr="0056191F"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  <w:t xml:space="preserve">Misure </w:t>
      </w:r>
      <w:r w:rsidR="006A79C5" w:rsidRPr="006A79C5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connesse alle superfici e agli animali</w:t>
      </w:r>
      <w:r w:rsidR="006A79C5" w:rsidRPr="006E318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1F6AF9" w:rsidRPr="0056191F"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  <w:t>2019</w:t>
      </w:r>
    </w:p>
    <w:p w14:paraId="42BEE32C" w14:textId="301DE7B3" w:rsidR="00F11321" w:rsidRDefault="00F11321" w:rsidP="003B653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</w:pPr>
    </w:p>
    <w:p w14:paraId="064E9A45" w14:textId="5D9673A4" w:rsidR="00F11321" w:rsidRPr="0056191F" w:rsidRDefault="00F11321" w:rsidP="003B653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</w:pPr>
      <w:r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  <w:t>DOMANDE NUOVA PROGRAMMAZIONE</w:t>
      </w:r>
    </w:p>
    <w:p w14:paraId="5F4082FF" w14:textId="77777777" w:rsidR="003B6531" w:rsidRPr="0056191F" w:rsidRDefault="003B6531" w:rsidP="003B653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</w:p>
    <w:p w14:paraId="7C9CEE98" w14:textId="6045F386" w:rsidR="003B6531" w:rsidRPr="0056191F" w:rsidRDefault="003B6531" w:rsidP="003B653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</w:pPr>
      <w:r w:rsidRPr="0056191F"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  <w:t>Procedura per l</w:t>
      </w:r>
      <w:r w:rsidR="00720DD6" w:rsidRPr="0056191F"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  <w:t xml:space="preserve">e </w:t>
      </w:r>
      <w:r w:rsidRPr="0056191F"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  <w:t xml:space="preserve">domande </w:t>
      </w:r>
      <w:r w:rsidR="00720DD6" w:rsidRPr="0056191F"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  <w:t xml:space="preserve">da </w:t>
      </w:r>
      <w:r w:rsidRPr="0056191F"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  <w:t>rilasc</w:t>
      </w:r>
      <w:bookmarkStart w:id="0" w:name="_GoBack"/>
      <w:bookmarkEnd w:id="0"/>
      <w:r w:rsidRPr="0056191F"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  <w:t>ia</w:t>
      </w:r>
      <w:r w:rsidR="00720DD6" w:rsidRPr="0056191F"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  <w:t>r</w:t>
      </w:r>
      <w:r w:rsidRPr="0056191F"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  <w:t xml:space="preserve">e </w:t>
      </w:r>
      <w:r w:rsidR="00107164" w:rsidRPr="0056191F"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  <w:t xml:space="preserve">con </w:t>
      </w:r>
      <w:r w:rsidR="00720DD6" w:rsidRPr="0056191F"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  <w:t xml:space="preserve">dati incompleti </w:t>
      </w:r>
      <w:r w:rsidRPr="0056191F"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  <w:t>per cause indipendenti dalla volontà dell’agricoltore (impedimenti di natura tecnica)</w:t>
      </w:r>
    </w:p>
    <w:p w14:paraId="2606409D" w14:textId="77777777" w:rsidR="00387BE1" w:rsidRPr="0056191F" w:rsidRDefault="00387BE1" w:rsidP="00387BE1">
      <w:pPr>
        <w:pStyle w:val="Titolo2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bookmarkStart w:id="1" w:name="_Hlk11334679"/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Premessa </w:t>
      </w:r>
    </w:p>
    <w:p w14:paraId="0165B6AD" w14:textId="7C88347C" w:rsidR="00720DD6" w:rsidRPr="006E318E" w:rsidRDefault="00250470" w:rsidP="0038309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E318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Agea </w:t>
      </w:r>
      <w:r w:rsidR="00886216" w:rsidRPr="006E318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per la campagna 2019 </w:t>
      </w:r>
      <w:r w:rsidR="00720DD6" w:rsidRPr="006E318E">
        <w:rPr>
          <w:rFonts w:asciiTheme="minorHAnsi" w:eastAsia="Times New Roman" w:hAnsiTheme="minorHAnsi" w:cstheme="minorHAnsi"/>
          <w:sz w:val="24"/>
          <w:szCs w:val="24"/>
          <w:lang w:eastAsia="it-IT"/>
        </w:rPr>
        <w:t>dello Sviluppo Rurale – misure connesse alle superfici e agli animali –</w:t>
      </w:r>
      <w:r w:rsidRPr="006E318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720DD6" w:rsidRPr="006E318E">
        <w:rPr>
          <w:rFonts w:asciiTheme="minorHAnsi" w:eastAsia="Times New Roman" w:hAnsiTheme="minorHAnsi" w:cstheme="minorHAnsi"/>
          <w:sz w:val="24"/>
          <w:szCs w:val="24"/>
          <w:lang w:eastAsia="it-IT"/>
        </w:rPr>
        <w:t>ha previsto</w:t>
      </w:r>
      <w:r w:rsidRPr="006E318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720DD6" w:rsidRPr="006E318E">
        <w:rPr>
          <w:rFonts w:asciiTheme="minorHAnsi" w:eastAsia="Times New Roman" w:hAnsiTheme="minorHAnsi" w:cstheme="minorHAnsi"/>
          <w:sz w:val="24"/>
          <w:szCs w:val="24"/>
          <w:lang w:eastAsia="it-IT"/>
        </w:rPr>
        <w:t>l’attivazione della procedura che consente</w:t>
      </w:r>
      <w:r w:rsidR="007D283D" w:rsidRPr="006E318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ai </w:t>
      </w:r>
      <w:r w:rsidR="007D283D" w:rsidRPr="006E318E">
        <w:rPr>
          <w:sz w:val="24"/>
          <w:szCs w:val="24"/>
        </w:rPr>
        <w:t>CAA e ai Liberi Professionisti</w:t>
      </w:r>
      <w:r w:rsidR="00720DD6" w:rsidRPr="006E318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la presentazione di una domanda con dati incompleti per motivi di carattere procedurale, informatic</w:t>
      </w:r>
      <w:r w:rsidR="00455994" w:rsidRPr="006E318E">
        <w:rPr>
          <w:rFonts w:asciiTheme="minorHAnsi" w:eastAsia="Times New Roman" w:hAnsiTheme="minorHAnsi" w:cstheme="minorHAnsi"/>
          <w:sz w:val="24"/>
          <w:szCs w:val="24"/>
          <w:lang w:eastAsia="it-IT"/>
        </w:rPr>
        <w:t>o</w:t>
      </w:r>
      <w:r w:rsidR="00720DD6" w:rsidRPr="006E318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o comunque </w:t>
      </w:r>
      <w:r w:rsidR="0089200D" w:rsidRPr="006E318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imputabili </w:t>
      </w:r>
      <w:r w:rsidR="00720DD6" w:rsidRPr="006E318E">
        <w:rPr>
          <w:rFonts w:asciiTheme="minorHAnsi" w:eastAsia="Times New Roman" w:hAnsiTheme="minorHAnsi" w:cstheme="minorHAnsi"/>
          <w:sz w:val="24"/>
          <w:szCs w:val="24"/>
          <w:lang w:eastAsia="it-IT"/>
        </w:rPr>
        <w:t>a malfunzionamenti dei sistemi informativi.</w:t>
      </w:r>
    </w:p>
    <w:bookmarkEnd w:id="1"/>
    <w:p w14:paraId="73E8C52A" w14:textId="77777777" w:rsidR="00387BE1" w:rsidRPr="0056191F" w:rsidRDefault="00387BE1" w:rsidP="0038309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</w:p>
    <w:p w14:paraId="70469E6B" w14:textId="56EBD91B" w:rsidR="00387BE1" w:rsidRPr="0056191F" w:rsidRDefault="00387BE1" w:rsidP="00387BE1">
      <w:pPr>
        <w:pStyle w:val="Titolo2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Scheda di validazione </w:t>
      </w:r>
      <w:r w:rsidR="00886216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con dati ritenuti non completi/ corretti</w:t>
      </w:r>
    </w:p>
    <w:p w14:paraId="4607993D" w14:textId="4913BE94" w:rsidR="00026E92" w:rsidRPr="0056191F" w:rsidRDefault="00720DD6" w:rsidP="0038309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Come previsto nelle Istruzioni operative </w:t>
      </w:r>
      <w:r w:rsidR="009B61B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n. 11 </w:t>
      </w: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per la </w:t>
      </w:r>
      <w:r w:rsidR="00426CEB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campagna 2019</w:t>
      </w:r>
      <w:r w:rsidR="0089200D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,</w:t>
      </w:r>
      <w:r w:rsidR="00426CEB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prot. n. ORPUM 13524 del 18/02/2019, </w:t>
      </w:r>
      <w:r w:rsidR="006501E0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l</w:t>
      </w: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a </w:t>
      </w:r>
      <w:r w:rsidR="006501E0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procedura si attiva</w:t>
      </w:r>
      <w:r w:rsidR="0089200D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a partire</w:t>
      </w:r>
      <w:r w:rsidR="006501E0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dal Fascicolo Aziendale, dove è previst</w:t>
      </w:r>
      <w:r w:rsidR="0089200D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a la possibilità di rilasciare </w:t>
      </w:r>
      <w:r w:rsidR="006501E0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una </w:t>
      </w:r>
      <w:r w:rsidR="00026E92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scheda di validazione</w:t>
      </w:r>
      <w:r w:rsidR="00886216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,</w:t>
      </w:r>
      <w:r w:rsidR="00026E92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incompleta o inesatt</w:t>
      </w:r>
      <w:r w:rsidR="0089200D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a</w:t>
      </w:r>
      <w:r w:rsidR="00886216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, con le seguenti causali</w:t>
      </w:r>
      <w:r w:rsidR="009B61B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:</w:t>
      </w:r>
    </w:p>
    <w:p w14:paraId="2D519955" w14:textId="2E741A30" w:rsidR="00952498" w:rsidRPr="0056191F" w:rsidRDefault="00952498" w:rsidP="0038309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4"/>
          <w:szCs w:val="20"/>
          <w:lang w:eastAsia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8338"/>
      </w:tblGrid>
      <w:tr w:rsidR="00952498" w:rsidRPr="0056191F" w14:paraId="176AD003" w14:textId="77777777" w:rsidTr="002C0EE6">
        <w:trPr>
          <w:trHeight w:val="300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F65BE" w14:textId="77777777" w:rsidR="00952498" w:rsidRPr="0056191F" w:rsidRDefault="00952498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0"/>
              </w:rPr>
              <w:t>Codice errore</w:t>
            </w:r>
          </w:p>
        </w:tc>
        <w:tc>
          <w:tcPr>
            <w:tcW w:w="4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AEFE9F" w14:textId="77777777" w:rsidR="00952498" w:rsidRPr="0056191F" w:rsidRDefault="00952498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0"/>
              </w:rPr>
              <w:t>Descrizione errore</w:t>
            </w:r>
          </w:p>
        </w:tc>
      </w:tr>
      <w:tr w:rsidR="002C0EE6" w:rsidRPr="0056191F" w14:paraId="51F578D0" w14:textId="77777777" w:rsidTr="002C0EE6">
        <w:trPr>
          <w:trHeight w:val="300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C2445" w14:textId="1C7EFD5D" w:rsidR="002C0EE6" w:rsidRPr="0056191F" w:rsidRDefault="002C0EE6" w:rsidP="00D33F5C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FA-01</w:t>
            </w:r>
          </w:p>
        </w:tc>
        <w:tc>
          <w:tcPr>
            <w:tcW w:w="4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873F6" w14:textId="476D2292" w:rsidR="002C0EE6" w:rsidRPr="0056191F" w:rsidRDefault="00077C18" w:rsidP="00D33F5C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  <w:highlight w:val="yellow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Scheda di validazione con dati ritenuti non corretti.</w:t>
            </w:r>
          </w:p>
        </w:tc>
      </w:tr>
      <w:tr w:rsidR="00952498" w:rsidRPr="0056191F" w14:paraId="494C0953" w14:textId="77777777" w:rsidTr="002C0EE6">
        <w:trPr>
          <w:trHeight w:val="300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7E48E5" w14:textId="77777777" w:rsidR="00952498" w:rsidRPr="0056191F" w:rsidRDefault="00952498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FA-02</w:t>
            </w:r>
          </w:p>
        </w:tc>
        <w:tc>
          <w:tcPr>
            <w:tcW w:w="4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BF41CC" w14:textId="77777777" w:rsidR="00952498" w:rsidRPr="0056191F" w:rsidRDefault="00952498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Imputazione non corretta dati di eleggibilità;</w:t>
            </w:r>
          </w:p>
        </w:tc>
      </w:tr>
      <w:tr w:rsidR="00952498" w:rsidRPr="0056191F" w14:paraId="006DD15D" w14:textId="77777777" w:rsidTr="002C0EE6">
        <w:trPr>
          <w:trHeight w:val="300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0E834E" w14:textId="77777777" w:rsidR="00952498" w:rsidRPr="0056191F" w:rsidRDefault="00952498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FA-03</w:t>
            </w:r>
          </w:p>
        </w:tc>
        <w:tc>
          <w:tcPr>
            <w:tcW w:w="4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D00C1F" w14:textId="77777777" w:rsidR="00952498" w:rsidRPr="0056191F" w:rsidRDefault="00952498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Irregolarità nei dati del GIS (questa motivazione viene intercettata automaticamente dal sistema).</w:t>
            </w:r>
          </w:p>
        </w:tc>
      </w:tr>
      <w:tr w:rsidR="00952498" w:rsidRPr="0056191F" w14:paraId="4D2C2440" w14:textId="77777777" w:rsidTr="002C0EE6">
        <w:trPr>
          <w:trHeight w:val="300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0596EF" w14:textId="77777777" w:rsidR="00952498" w:rsidRPr="0056191F" w:rsidRDefault="00952498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FA-04</w:t>
            </w:r>
          </w:p>
        </w:tc>
        <w:tc>
          <w:tcPr>
            <w:tcW w:w="4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7C0081" w14:textId="77777777" w:rsidR="00952498" w:rsidRPr="0056191F" w:rsidRDefault="00952498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Incompletezza informazioni dall’Agenzia del Territorio</w:t>
            </w:r>
          </w:p>
        </w:tc>
      </w:tr>
      <w:tr w:rsidR="00952498" w:rsidRPr="0056191F" w14:paraId="07A9DBE3" w14:textId="77777777" w:rsidTr="002C0EE6">
        <w:trPr>
          <w:trHeight w:val="300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778311" w14:textId="77777777" w:rsidR="00952498" w:rsidRPr="0056191F" w:rsidRDefault="00952498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FA-05</w:t>
            </w:r>
          </w:p>
        </w:tc>
        <w:tc>
          <w:tcPr>
            <w:tcW w:w="4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EBF885" w14:textId="77777777" w:rsidR="00952498" w:rsidRPr="0056191F" w:rsidRDefault="00952498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Individuazione PLT</w:t>
            </w:r>
          </w:p>
        </w:tc>
      </w:tr>
      <w:tr w:rsidR="00952498" w:rsidRPr="0056191F" w14:paraId="189800D4" w14:textId="77777777" w:rsidTr="002C0EE6">
        <w:trPr>
          <w:trHeight w:val="300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655794" w14:textId="77777777" w:rsidR="00952498" w:rsidRPr="0056191F" w:rsidRDefault="00952498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FA-06</w:t>
            </w:r>
          </w:p>
        </w:tc>
        <w:tc>
          <w:tcPr>
            <w:tcW w:w="4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DD8083" w14:textId="77777777" w:rsidR="00952498" w:rsidRPr="0056191F" w:rsidRDefault="00952498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Aree demaniali non censite al catasto, da ricodificare.</w:t>
            </w:r>
          </w:p>
        </w:tc>
      </w:tr>
    </w:tbl>
    <w:p w14:paraId="371D61C7" w14:textId="2D307C9E" w:rsidR="00952498" w:rsidRPr="0056191F" w:rsidRDefault="00952498" w:rsidP="0038309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4"/>
          <w:szCs w:val="20"/>
          <w:lang w:eastAsia="it-IT"/>
        </w:rPr>
      </w:pPr>
    </w:p>
    <w:p w14:paraId="3829932A" w14:textId="184194FB" w:rsidR="00886216" w:rsidRPr="0056191F" w:rsidRDefault="00886216" w:rsidP="0038309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Ad eccezione della causale FA-03 le segnalazioni sul Fascicolo Aziendale sono di carattere dichiarativo</w:t>
      </w:r>
      <w:r w:rsidR="009B61B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e possono essere oggetto di controllo</w:t>
      </w: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.</w:t>
      </w:r>
    </w:p>
    <w:p w14:paraId="087C701A" w14:textId="6E7B5A64" w:rsidR="00886216" w:rsidRPr="0056191F" w:rsidRDefault="00886216" w:rsidP="0038309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4"/>
          <w:szCs w:val="20"/>
          <w:lang w:eastAsia="it-IT"/>
        </w:rPr>
      </w:pPr>
    </w:p>
    <w:p w14:paraId="7F3D867F" w14:textId="5071F8E6" w:rsidR="00886216" w:rsidRPr="0056191F" w:rsidRDefault="00886216" w:rsidP="00886216">
      <w:pPr>
        <w:pStyle w:val="Titolo2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Domanda con dati ritenuti non completi/ corretti </w:t>
      </w:r>
    </w:p>
    <w:p w14:paraId="0D47A325" w14:textId="6441B19B" w:rsidR="00886216" w:rsidRPr="0056191F" w:rsidRDefault="000D6854" w:rsidP="0038309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Gli strumenti previsti dall’OP Agea per la presentazione delle domande non complete/ corrette prevedono l’indicazione delle segnalazioni</w:t>
      </w:r>
      <w:r w:rsidR="0024666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,</w:t>
      </w: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di seguito riportate, </w:t>
      </w:r>
      <w:r w:rsidR="0040442F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segnalazioni </w:t>
      </w: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che </w:t>
      </w:r>
      <w:r w:rsidR="0024666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consentono di superare i controlli ordinari </w:t>
      </w:r>
      <w:r w:rsidR="0040442F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delle procedure informatiche </w:t>
      </w:r>
      <w:r w:rsidR="0024666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e procedere</w:t>
      </w:r>
      <w:r w:rsidR="009B61B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comunque</w:t>
      </w:r>
      <w:r w:rsidR="0024666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alla presentazione della domanda</w:t>
      </w:r>
      <w:r w:rsidR="009B61B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incompleta</w:t>
      </w: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.</w:t>
      </w:r>
    </w:p>
    <w:p w14:paraId="14A2FE26" w14:textId="77777777" w:rsidR="00886216" w:rsidRPr="0056191F" w:rsidRDefault="00886216" w:rsidP="0038309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4"/>
          <w:szCs w:val="20"/>
          <w:lang w:eastAsia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8299"/>
      </w:tblGrid>
      <w:tr w:rsidR="00077C18" w:rsidRPr="0056191F" w14:paraId="55EAD725" w14:textId="77777777" w:rsidTr="00886216">
        <w:trPr>
          <w:trHeight w:val="300"/>
        </w:trPr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6ECB46" w14:textId="77777777" w:rsidR="00886216" w:rsidRPr="0056191F" w:rsidRDefault="00886216" w:rsidP="007E76AC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0"/>
              </w:rPr>
              <w:t>Codice errore</w:t>
            </w:r>
          </w:p>
        </w:tc>
        <w:tc>
          <w:tcPr>
            <w:tcW w:w="4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791A18" w14:textId="77777777" w:rsidR="00886216" w:rsidRPr="0056191F" w:rsidRDefault="00886216" w:rsidP="007E76AC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0"/>
              </w:rPr>
              <w:t>Descrizione errore</w:t>
            </w:r>
          </w:p>
        </w:tc>
      </w:tr>
      <w:tr w:rsidR="00077C18" w:rsidRPr="0056191F" w14:paraId="128BF5B2" w14:textId="77777777" w:rsidTr="00886216">
        <w:trPr>
          <w:trHeight w:val="300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51249B" w14:textId="77777777" w:rsidR="00886216" w:rsidRPr="0056191F" w:rsidRDefault="00886216" w:rsidP="007E76AC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PSR-01</w:t>
            </w:r>
          </w:p>
        </w:tc>
        <w:tc>
          <w:tcPr>
            <w:tcW w:w="4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6223B" w14:textId="77777777" w:rsidR="00886216" w:rsidRPr="0056191F" w:rsidRDefault="00886216" w:rsidP="007E76AC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Mancato aggiornamento dei vincoli territoriali (es. zone svantaggiate)</w:t>
            </w:r>
          </w:p>
        </w:tc>
      </w:tr>
      <w:tr w:rsidR="00077C18" w:rsidRPr="0056191F" w14:paraId="788FE991" w14:textId="77777777" w:rsidTr="00886216">
        <w:trPr>
          <w:trHeight w:val="300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D735A" w14:textId="77777777" w:rsidR="00886216" w:rsidRPr="0056191F" w:rsidRDefault="00886216" w:rsidP="007E76AC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PSR-02</w:t>
            </w:r>
          </w:p>
        </w:tc>
        <w:tc>
          <w:tcPr>
            <w:tcW w:w="4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EF454" w14:textId="77777777" w:rsidR="00886216" w:rsidRPr="0056191F" w:rsidRDefault="00886216" w:rsidP="007E76AC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 xml:space="preserve">Dichiarazioni non recuperate dal </w:t>
            </w:r>
            <w:proofErr w:type="spellStart"/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PdC</w:t>
            </w:r>
            <w:proofErr w:type="spellEnd"/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: incompleta definizione grafica dell’impegno in domanda</w:t>
            </w:r>
          </w:p>
        </w:tc>
      </w:tr>
      <w:tr w:rsidR="00077C18" w:rsidRPr="0056191F" w14:paraId="74214DE4" w14:textId="77777777" w:rsidTr="00886216">
        <w:trPr>
          <w:trHeight w:val="300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06294" w14:textId="77777777" w:rsidR="00886216" w:rsidRPr="0056191F" w:rsidRDefault="00886216" w:rsidP="007E76AC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PSR-03</w:t>
            </w:r>
          </w:p>
        </w:tc>
        <w:tc>
          <w:tcPr>
            <w:tcW w:w="4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D29EC2" w14:textId="77777777" w:rsidR="00886216" w:rsidRPr="0056191F" w:rsidRDefault="00886216" w:rsidP="007E76AC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Fascicolo aziendale appartenente ad un Organismo pagatore diverso da Agea</w:t>
            </w:r>
          </w:p>
        </w:tc>
      </w:tr>
      <w:tr w:rsidR="00077C18" w:rsidRPr="0056191F" w14:paraId="05528318" w14:textId="77777777" w:rsidTr="00886216">
        <w:trPr>
          <w:trHeight w:val="300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B626BA" w14:textId="77777777" w:rsidR="00886216" w:rsidRPr="0056191F" w:rsidRDefault="00886216" w:rsidP="007E76AC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PSR-04</w:t>
            </w:r>
          </w:p>
        </w:tc>
        <w:tc>
          <w:tcPr>
            <w:tcW w:w="4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89400" w14:textId="22465ABE" w:rsidR="00886216" w:rsidRPr="0056191F" w:rsidRDefault="00886216" w:rsidP="007E76AC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 xml:space="preserve">Segnalazione di errore del sistema </w:t>
            </w:r>
            <w:r w:rsidR="00DC6392"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 xml:space="preserve">bloccante per il rilascio della domanda </w:t>
            </w: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(</w:t>
            </w:r>
            <w:r w:rsidR="00194068"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 xml:space="preserve">Esempio: </w:t>
            </w: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time-out)</w:t>
            </w:r>
          </w:p>
        </w:tc>
      </w:tr>
      <w:tr w:rsidR="00DC6392" w:rsidRPr="0056191F" w14:paraId="196BEF04" w14:textId="77777777" w:rsidTr="008664A9">
        <w:trPr>
          <w:trHeight w:val="300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46DCA" w14:textId="77777777" w:rsidR="00DC6392" w:rsidRPr="0056191F" w:rsidRDefault="00DC6392" w:rsidP="008664A9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PSR-05</w:t>
            </w:r>
          </w:p>
        </w:tc>
        <w:tc>
          <w:tcPr>
            <w:tcW w:w="4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24AF76" w14:textId="77777777" w:rsidR="00DC6392" w:rsidRPr="0056191F" w:rsidRDefault="00DC6392" w:rsidP="008664A9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Segnalazione dettagli predisposizione regionale incompleti.</w:t>
            </w:r>
          </w:p>
        </w:tc>
      </w:tr>
      <w:tr w:rsidR="00DC6392" w:rsidRPr="0056191F" w14:paraId="2194BE09" w14:textId="77777777" w:rsidTr="008664A9">
        <w:trPr>
          <w:trHeight w:val="300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C5BB33" w14:textId="77777777" w:rsidR="00DC6392" w:rsidRPr="0056191F" w:rsidRDefault="00DC6392" w:rsidP="008664A9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PSR-06</w:t>
            </w:r>
          </w:p>
        </w:tc>
        <w:tc>
          <w:tcPr>
            <w:tcW w:w="4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B8185" w14:textId="77777777" w:rsidR="00DC6392" w:rsidRPr="0056191F" w:rsidRDefault="00DC6392" w:rsidP="008664A9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Perfezionamento in corso nelle campagne precedenti.</w:t>
            </w:r>
          </w:p>
        </w:tc>
      </w:tr>
      <w:tr w:rsidR="00077C18" w:rsidRPr="0056191F" w14:paraId="06E17086" w14:textId="77777777" w:rsidTr="009B61B7">
        <w:trPr>
          <w:trHeight w:val="300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FC6ECA" w14:textId="75A4F4D9" w:rsidR="00077C18" w:rsidRPr="0056191F" w:rsidRDefault="00077C18" w:rsidP="008664A9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PSR-0</w:t>
            </w:r>
            <w:r w:rsidR="00DC6392"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7</w:t>
            </w:r>
          </w:p>
        </w:tc>
        <w:tc>
          <w:tcPr>
            <w:tcW w:w="4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31CB8" w14:textId="4A090891" w:rsidR="00077C18" w:rsidRPr="0056191F" w:rsidRDefault="00D34604" w:rsidP="008664A9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Incompletezza dati recuperati da BDN</w:t>
            </w:r>
          </w:p>
        </w:tc>
      </w:tr>
      <w:tr w:rsidR="00194068" w:rsidRPr="0056191F" w14:paraId="72294E29" w14:textId="77777777" w:rsidTr="009B61B7">
        <w:trPr>
          <w:trHeight w:val="30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BD52A" w14:textId="7949AA13" w:rsidR="00194068" w:rsidRPr="0056191F" w:rsidRDefault="00194068" w:rsidP="008664A9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>PSR-08</w:t>
            </w:r>
          </w:p>
        </w:tc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D5817" w14:textId="1ACB9A97" w:rsidR="00194068" w:rsidRPr="0056191F" w:rsidRDefault="00194068" w:rsidP="008664A9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</w:pPr>
            <w:r w:rsidRPr="0056191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0"/>
              </w:rPr>
              <w:t xml:space="preserve">Misura 10.18 Lazio - Incompletezza dati </w:t>
            </w:r>
          </w:p>
        </w:tc>
      </w:tr>
    </w:tbl>
    <w:p w14:paraId="01EE7799" w14:textId="77777777" w:rsidR="00886216" w:rsidRPr="0056191F" w:rsidRDefault="00886216" w:rsidP="0038309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4"/>
          <w:szCs w:val="20"/>
          <w:lang w:eastAsia="it-IT"/>
        </w:rPr>
      </w:pPr>
    </w:p>
    <w:p w14:paraId="67C8E689" w14:textId="449AC942" w:rsidR="0040442F" w:rsidRPr="0056191F" w:rsidRDefault="0040442F" w:rsidP="00B3704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lastRenderedPageBreak/>
        <w:t>R</w:t>
      </w:r>
      <w:r w:rsidR="008F197D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imossi gli impedimenti alla corretta</w:t>
      </w:r>
      <w:r w:rsidR="00632DB0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e</w:t>
      </w:r>
      <w:r w:rsidR="00B45D31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</w:t>
      </w:r>
      <w:r w:rsidR="00632DB0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completa </w:t>
      </w:r>
      <w:r w:rsidR="008F197D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dichiarazione </w:t>
      </w:r>
      <w:r w:rsidR="00B45D31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sul F</w:t>
      </w:r>
      <w:r w:rsidR="009B61B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ascicolo aziendale</w:t>
      </w:r>
      <w:r w:rsidR="00B45D31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, </w:t>
      </w:r>
      <w:r w:rsidR="00D6273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l’azienda</w:t>
      </w:r>
      <w:r w:rsidR="008F197D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provvede </w:t>
      </w:r>
      <w:r w:rsidR="009B61B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alla richiesta </w:t>
      </w:r>
      <w:r w:rsidR="008F197D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degli aiuti per le superfici interessate, presenti nella scheda di validazione di riferimento</w:t>
      </w:r>
      <w:r w:rsidR="0018664A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, e a presentare una Domanda ai sensi dell'art. 4 del Reg. UE 640/2014 (</w:t>
      </w:r>
      <w:r w:rsidR="0018664A" w:rsidRPr="0056191F">
        <w:rPr>
          <w:rFonts w:asciiTheme="minorHAnsi" w:eastAsia="Times New Roman" w:hAnsiTheme="minorHAnsi" w:cstheme="minorHAnsi"/>
          <w:i/>
          <w:sz w:val="24"/>
          <w:szCs w:val="20"/>
          <w:lang w:eastAsia="it-IT"/>
        </w:rPr>
        <w:t>Forza maggiore e circostanze eccezionali</w:t>
      </w:r>
      <w:r w:rsidR="0018664A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)</w:t>
      </w:r>
      <w:r w:rsidR="009B61B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entro il 30 settembre (cfr. Istruzioni operative n. 11 del 18 febbraio 2019</w:t>
      </w:r>
      <w:r w:rsidR="0018664A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.</w:t>
      </w:r>
      <w:r w:rsidR="00077C18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</w:t>
      </w:r>
    </w:p>
    <w:p w14:paraId="3AE35683" w14:textId="77777777" w:rsidR="00077C18" w:rsidRPr="0056191F" w:rsidRDefault="00077C18" w:rsidP="00B3704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</w:p>
    <w:p w14:paraId="127F6232" w14:textId="37162652" w:rsidR="00B3704C" w:rsidRPr="0056191F" w:rsidRDefault="00B3704C" w:rsidP="00B3704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La Domanda presentata ai sensi dell'art. 4 del Reg. UE 640/2014 (</w:t>
      </w:r>
      <w:r w:rsidRPr="0056191F">
        <w:rPr>
          <w:rFonts w:asciiTheme="minorHAnsi" w:eastAsia="Times New Roman" w:hAnsiTheme="minorHAnsi" w:cstheme="minorHAnsi"/>
          <w:i/>
          <w:sz w:val="24"/>
          <w:szCs w:val="20"/>
          <w:lang w:eastAsia="it-IT"/>
        </w:rPr>
        <w:t>Forza maggiore e circostanze eccezionali</w:t>
      </w: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) sostituisce integralmente la domanda precedentemente presentata. </w:t>
      </w:r>
    </w:p>
    <w:p w14:paraId="5867E977" w14:textId="77777777" w:rsidR="0040442F" w:rsidRPr="0056191F" w:rsidRDefault="0040442F" w:rsidP="008F197D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</w:p>
    <w:p w14:paraId="002A1E72" w14:textId="47339E22" w:rsidR="00643DD4" w:rsidRPr="0056191F" w:rsidRDefault="00643DD4" w:rsidP="008F197D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L</w:t>
      </w:r>
      <w:r w:rsidR="0024666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e domande presentate sulla base delle segnalazioni</w:t>
      </w:r>
      <w:r w:rsidR="00194068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di tipo PSR, </w:t>
      </w:r>
      <w:r w:rsidR="0024666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vengono sottoposte </w:t>
      </w:r>
      <w:r w:rsidR="0040442F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dall’OP Agea </w:t>
      </w:r>
      <w:r w:rsidR="0024666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ad istruttoria</w:t>
      </w:r>
      <w:r w:rsidR="0040442F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,</w:t>
      </w:r>
      <w:r w:rsidR="0024666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al fine di determinare l</w:t>
      </w: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’ammissibilità della </w:t>
      </w:r>
      <w:r w:rsidR="0024666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successiva domanda </w:t>
      </w: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presentata ai sensi dell'art. 4 del Reg. UE 640/2014</w:t>
      </w:r>
      <w:r w:rsidR="00246667"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>.</w:t>
      </w:r>
      <w:r w:rsidRPr="005619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</w:t>
      </w:r>
    </w:p>
    <w:sectPr w:rsidR="00643DD4" w:rsidRPr="0056191F" w:rsidSect="009B61B7">
      <w:footerReference w:type="default" r:id="rId7"/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F1149" w14:textId="77777777" w:rsidR="00E74C93" w:rsidRDefault="00E74C93" w:rsidP="000A2724">
      <w:r>
        <w:separator/>
      </w:r>
    </w:p>
  </w:endnote>
  <w:endnote w:type="continuationSeparator" w:id="0">
    <w:p w14:paraId="20A22664" w14:textId="77777777" w:rsidR="00E74C93" w:rsidRDefault="00E74C93" w:rsidP="000A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2480137"/>
      <w:docPartObj>
        <w:docPartGallery w:val="Page Numbers (Bottom of Page)"/>
        <w:docPartUnique/>
      </w:docPartObj>
    </w:sdtPr>
    <w:sdtEndPr/>
    <w:sdtContent>
      <w:p w14:paraId="35939B80" w14:textId="66BEF096" w:rsidR="000A2724" w:rsidRDefault="000A272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6A284" w14:textId="77777777" w:rsidR="000A2724" w:rsidRDefault="000A27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09691" w14:textId="77777777" w:rsidR="00E74C93" w:rsidRDefault="00E74C93" w:rsidP="000A2724">
      <w:r>
        <w:separator/>
      </w:r>
    </w:p>
  </w:footnote>
  <w:footnote w:type="continuationSeparator" w:id="0">
    <w:p w14:paraId="669A6805" w14:textId="77777777" w:rsidR="00E74C93" w:rsidRDefault="00E74C93" w:rsidP="000A2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250A"/>
    <w:multiLevelType w:val="hybridMultilevel"/>
    <w:tmpl w:val="757EE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00B6"/>
    <w:multiLevelType w:val="hybridMultilevel"/>
    <w:tmpl w:val="6BB6C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75D6D"/>
    <w:multiLevelType w:val="hybridMultilevel"/>
    <w:tmpl w:val="946EC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AE9"/>
    <w:multiLevelType w:val="hybridMultilevel"/>
    <w:tmpl w:val="E0D87616"/>
    <w:lvl w:ilvl="0" w:tplc="B4500D16">
      <w:start w:val="1"/>
      <w:numFmt w:val="decimal"/>
      <w:lvlText w:val="%1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31"/>
    <w:rsid w:val="000126F1"/>
    <w:rsid w:val="00026E92"/>
    <w:rsid w:val="00061A1F"/>
    <w:rsid w:val="00077C18"/>
    <w:rsid w:val="0008640E"/>
    <w:rsid w:val="000A2724"/>
    <w:rsid w:val="000C5846"/>
    <w:rsid w:val="000D6854"/>
    <w:rsid w:val="000F2719"/>
    <w:rsid w:val="00107164"/>
    <w:rsid w:val="00131C36"/>
    <w:rsid w:val="00133B7F"/>
    <w:rsid w:val="001360C2"/>
    <w:rsid w:val="00165C83"/>
    <w:rsid w:val="00170B6B"/>
    <w:rsid w:val="0018664A"/>
    <w:rsid w:val="00194068"/>
    <w:rsid w:val="001B1563"/>
    <w:rsid w:val="001B6B2F"/>
    <w:rsid w:val="001C0D38"/>
    <w:rsid w:val="001C2B4E"/>
    <w:rsid w:val="001D0E47"/>
    <w:rsid w:val="001D47D6"/>
    <w:rsid w:val="001F6AF9"/>
    <w:rsid w:val="00246667"/>
    <w:rsid w:val="00250470"/>
    <w:rsid w:val="00254BA1"/>
    <w:rsid w:val="002557BC"/>
    <w:rsid w:val="00274A32"/>
    <w:rsid w:val="00281CBF"/>
    <w:rsid w:val="002979DC"/>
    <w:rsid w:val="002C0EE6"/>
    <w:rsid w:val="002C23BC"/>
    <w:rsid w:val="002C4ACB"/>
    <w:rsid w:val="002E32B2"/>
    <w:rsid w:val="002E78A9"/>
    <w:rsid w:val="00326480"/>
    <w:rsid w:val="00383096"/>
    <w:rsid w:val="00387BE1"/>
    <w:rsid w:val="003B6531"/>
    <w:rsid w:val="003F77F0"/>
    <w:rsid w:val="0040442F"/>
    <w:rsid w:val="004268B7"/>
    <w:rsid w:val="00426CEB"/>
    <w:rsid w:val="00455994"/>
    <w:rsid w:val="004B04E3"/>
    <w:rsid w:val="0056191F"/>
    <w:rsid w:val="005839FF"/>
    <w:rsid w:val="005C0CA3"/>
    <w:rsid w:val="005C0D5D"/>
    <w:rsid w:val="005E74A5"/>
    <w:rsid w:val="00617221"/>
    <w:rsid w:val="00627C96"/>
    <w:rsid w:val="00632DB0"/>
    <w:rsid w:val="00643DD4"/>
    <w:rsid w:val="006501E0"/>
    <w:rsid w:val="00657402"/>
    <w:rsid w:val="006A79C5"/>
    <w:rsid w:val="006B1462"/>
    <w:rsid w:val="006D3558"/>
    <w:rsid w:val="006E318E"/>
    <w:rsid w:val="00710574"/>
    <w:rsid w:val="0072061B"/>
    <w:rsid w:val="00720DD6"/>
    <w:rsid w:val="00742D0E"/>
    <w:rsid w:val="007A778F"/>
    <w:rsid w:val="007D283D"/>
    <w:rsid w:val="008023E4"/>
    <w:rsid w:val="00805600"/>
    <w:rsid w:val="00812A1E"/>
    <w:rsid w:val="00824A05"/>
    <w:rsid w:val="00841E38"/>
    <w:rsid w:val="00866B09"/>
    <w:rsid w:val="00871172"/>
    <w:rsid w:val="0087295B"/>
    <w:rsid w:val="00873D7F"/>
    <w:rsid w:val="00874BAF"/>
    <w:rsid w:val="008800F3"/>
    <w:rsid w:val="00881A9A"/>
    <w:rsid w:val="00881BF0"/>
    <w:rsid w:val="00885D7C"/>
    <w:rsid w:val="00886216"/>
    <w:rsid w:val="0089200D"/>
    <w:rsid w:val="00896474"/>
    <w:rsid w:val="008F197D"/>
    <w:rsid w:val="00900DBE"/>
    <w:rsid w:val="00906DAF"/>
    <w:rsid w:val="00912B87"/>
    <w:rsid w:val="00944EC6"/>
    <w:rsid w:val="00952498"/>
    <w:rsid w:val="009614B5"/>
    <w:rsid w:val="00971847"/>
    <w:rsid w:val="00991731"/>
    <w:rsid w:val="00995B52"/>
    <w:rsid w:val="00995D33"/>
    <w:rsid w:val="009A6920"/>
    <w:rsid w:val="009B61B7"/>
    <w:rsid w:val="009F77E5"/>
    <w:rsid w:val="00A33242"/>
    <w:rsid w:val="00A5747F"/>
    <w:rsid w:val="00A80392"/>
    <w:rsid w:val="00AF43EA"/>
    <w:rsid w:val="00B006B4"/>
    <w:rsid w:val="00B3704C"/>
    <w:rsid w:val="00B45D31"/>
    <w:rsid w:val="00B70124"/>
    <w:rsid w:val="00BC24BD"/>
    <w:rsid w:val="00BD7E12"/>
    <w:rsid w:val="00C2078A"/>
    <w:rsid w:val="00C65310"/>
    <w:rsid w:val="00C72CF8"/>
    <w:rsid w:val="00C75F39"/>
    <w:rsid w:val="00CE6147"/>
    <w:rsid w:val="00CE65FB"/>
    <w:rsid w:val="00D34604"/>
    <w:rsid w:val="00D4623E"/>
    <w:rsid w:val="00D50BC5"/>
    <w:rsid w:val="00D61294"/>
    <w:rsid w:val="00D62737"/>
    <w:rsid w:val="00D66A87"/>
    <w:rsid w:val="00DC2135"/>
    <w:rsid w:val="00DC6392"/>
    <w:rsid w:val="00E1109A"/>
    <w:rsid w:val="00E271E7"/>
    <w:rsid w:val="00E4611D"/>
    <w:rsid w:val="00E64B29"/>
    <w:rsid w:val="00E74C93"/>
    <w:rsid w:val="00EE39ED"/>
    <w:rsid w:val="00F11321"/>
    <w:rsid w:val="00F24E55"/>
    <w:rsid w:val="00F4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9406"/>
  <w15:docId w15:val="{D292240F-7EC8-45C6-A94F-6FD3C32A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6531"/>
    <w:pPr>
      <w:spacing w:after="0" w:line="240" w:lineRule="auto"/>
    </w:pPr>
    <w:rPr>
      <w:rFonts w:ascii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87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531"/>
    <w:pPr>
      <w:spacing w:after="200" w:line="27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30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3096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87B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0A27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2724"/>
    <w:rPr>
      <w:rFonts w:ascii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27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724"/>
    <w:rPr>
      <w:rFonts w:ascii="Calibri" w:hAnsi="Calibri" w:cs="Times New Roman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C2B4E"/>
    <w:rPr>
      <w:rFonts w:cs="Calibri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C2B4E"/>
    <w:rPr>
      <w:rFonts w:ascii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0126F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2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STEIDL</dc:creator>
  <cp:lastModifiedBy>FEDERICO STEIDL</cp:lastModifiedBy>
  <cp:revision>10</cp:revision>
  <cp:lastPrinted>2014-02-20T18:23:00Z</cp:lastPrinted>
  <dcterms:created xsi:type="dcterms:W3CDTF">2019-06-12T15:16:00Z</dcterms:created>
  <dcterms:modified xsi:type="dcterms:W3CDTF">2019-06-13T14:42:00Z</dcterms:modified>
</cp:coreProperties>
</file>